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E9856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>泉州济钢高科技</w:t>
      </w: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有限公司</w:t>
      </w:r>
    </w:p>
    <w:p w14:paraId="6E9B5DEE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>石灰石</w:t>
      </w: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产品运输服务</w:t>
      </w:r>
    </w:p>
    <w:p w14:paraId="02F401E0">
      <w:pPr>
        <w:spacing w:before="156" w:beforeLines="50" w:line="480" w:lineRule="auto"/>
        <w:jc w:val="center"/>
        <w:rPr>
          <w:rFonts w:hint="eastAsia" w:ascii="方正小标宋简体" w:eastAsia="方正小标宋简体"/>
          <w:b/>
          <w:spacing w:val="-2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>编号：1253260113002</w:t>
      </w:r>
      <w:r>
        <w:rPr>
          <w:rFonts w:hint="eastAsia" w:ascii="方正小标宋简体" w:eastAsia="方正小标宋简体"/>
          <w:b/>
          <w:spacing w:val="-20"/>
          <w:sz w:val="44"/>
          <w:szCs w:val="44"/>
          <w:lang w:eastAsia="zh-CN"/>
        </w:rPr>
        <w:t>）</w:t>
      </w:r>
    </w:p>
    <w:p w14:paraId="0D9B5E5F">
      <w:pPr>
        <w:spacing w:before="156" w:beforeLines="50" w:line="480" w:lineRule="auto"/>
        <w:jc w:val="center"/>
        <w:rPr>
          <w:rFonts w:ascii="仿宋_GB2312" w:eastAsia="仿宋_GB2312"/>
          <w:kern w:val="0"/>
          <w:sz w:val="32"/>
          <w:szCs w:val="32"/>
        </w:rPr>
      </w:pPr>
    </w:p>
    <w:p w14:paraId="299DA859">
      <w:pPr>
        <w:spacing w:before="156" w:beforeLines="50" w:line="480" w:lineRule="auto"/>
        <w:jc w:val="center"/>
        <w:rPr>
          <w:rFonts w:hint="eastAsia" w:ascii="仿宋_GB2312" w:eastAsia="方正小标宋简体"/>
          <w:b/>
          <w:spacing w:val="-2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竞争性谈判</w:t>
      </w: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>公告</w:t>
      </w:r>
    </w:p>
    <w:p w14:paraId="05109421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39A179FA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65B2C198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29AF28AC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kern w:val="0"/>
          <w:sz w:val="32"/>
          <w:szCs w:val="32"/>
        </w:rPr>
        <w:t>招标人：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泉州济钢高科技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有限公司</w:t>
      </w:r>
    </w:p>
    <w:p w14:paraId="668999BF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  <w:r>
        <w:rPr>
          <w:rFonts w:ascii="方正小标宋简体" w:hAnsi="仿宋" w:eastAsia="方正小标宋简体"/>
          <w:kern w:val="0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月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13</w:t>
      </w:r>
      <w:bookmarkStart w:id="4" w:name="_GoBack"/>
      <w:bookmarkEnd w:id="4"/>
      <w:r>
        <w:rPr>
          <w:rFonts w:hint="eastAsia" w:ascii="方正小标宋简体" w:hAnsi="仿宋" w:eastAsia="方正小标宋简体"/>
          <w:kern w:val="0"/>
          <w:sz w:val="32"/>
          <w:szCs w:val="32"/>
        </w:rPr>
        <w:t>日</w:t>
      </w:r>
    </w:p>
    <w:p w14:paraId="15016B6A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1FAEA379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07F68369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1AEA77EE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78D090B4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0E4E7129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47FF5264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37FE41AC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3898B65A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47361D5E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3EFA1241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29902AA8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23CF348E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664F9DC6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454B0CF6">
      <w:pPr>
        <w:pStyle w:val="2"/>
        <w:tabs>
          <w:tab w:val="right" w:leader="dot" w:pos="8296"/>
        </w:tabs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目      录</w:t>
      </w:r>
    </w:p>
    <w:p w14:paraId="037D2BA9">
      <w:pPr>
        <w:pStyle w:val="2"/>
        <w:tabs>
          <w:tab w:val="right" w:leader="dot" w:pos="8296"/>
        </w:tabs>
        <w:rPr>
          <w:rFonts w:ascii="方正小标宋简体" w:eastAsia="方正小标宋简体"/>
          <w:kern w:val="0"/>
          <w:sz w:val="32"/>
          <w:szCs w:val="32"/>
        </w:rPr>
      </w:pPr>
    </w:p>
    <w:p w14:paraId="1E27B832">
      <w:pPr>
        <w:pStyle w:val="2"/>
        <w:tabs>
          <w:tab w:val="right" w:leader="dot" w:pos="8306"/>
        </w:tabs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fldChar w:fldCharType="begin"/>
      </w:r>
      <w:r>
        <w:rPr>
          <w:rFonts w:hint="eastAsia" w:ascii="宋体" w:hAnsi="宋体" w:cs="宋体"/>
          <w:kern w:val="0"/>
          <w:sz w:val="36"/>
          <w:szCs w:val="36"/>
        </w:rPr>
        <w:instrText xml:space="preserve">TOC \o "1-1" \h \u </w:instrText>
      </w:r>
      <w:r>
        <w:rPr>
          <w:rFonts w:hint="eastAsia" w:ascii="宋体" w:hAnsi="宋体" w:cs="宋体"/>
          <w:kern w:val="0"/>
          <w:sz w:val="36"/>
          <w:szCs w:val="36"/>
        </w:rPr>
        <w:fldChar w:fldCharType="separate"/>
      </w:r>
      <w:r>
        <w:fldChar w:fldCharType="begin"/>
      </w:r>
      <w:r>
        <w:instrText xml:space="preserve"> HYPERLINK \l "_Toc19857" </w:instrText>
      </w:r>
      <w:r>
        <w:fldChar w:fldCharType="separate"/>
      </w:r>
      <w:r>
        <w:rPr>
          <w:rFonts w:hint="eastAsia" w:ascii="宋体" w:hAnsi="宋体" w:cs="宋体"/>
          <w:sz w:val="36"/>
          <w:szCs w:val="36"/>
        </w:rPr>
        <w:t>第一章  竞争性谈判公告</w:t>
      </w:r>
      <w:r>
        <w:rPr>
          <w:rFonts w:hint="eastAsia" w:ascii="宋体" w:hAnsi="宋体" w:cs="宋体"/>
          <w:sz w:val="36"/>
          <w:szCs w:val="36"/>
        </w:rPr>
        <w:tab/>
      </w:r>
      <w:r>
        <w:rPr>
          <w:rFonts w:hint="eastAsia" w:ascii="宋体" w:hAnsi="宋体" w:cs="宋体"/>
          <w:sz w:val="36"/>
          <w:szCs w:val="36"/>
        </w:rPr>
        <w:fldChar w:fldCharType="begin"/>
      </w:r>
      <w:r>
        <w:rPr>
          <w:rFonts w:hint="eastAsia" w:ascii="宋体" w:hAnsi="宋体" w:cs="宋体"/>
          <w:sz w:val="36"/>
          <w:szCs w:val="36"/>
        </w:rPr>
        <w:instrText xml:space="preserve"> PAGEREF _Toc19857 \h </w:instrText>
      </w:r>
      <w:r>
        <w:rPr>
          <w:rFonts w:hint="eastAsia" w:ascii="宋体" w:hAnsi="宋体" w:cs="宋体"/>
          <w:sz w:val="36"/>
          <w:szCs w:val="36"/>
        </w:rPr>
        <w:fldChar w:fldCharType="separate"/>
      </w:r>
      <w:r>
        <w:rPr>
          <w:rFonts w:hint="eastAsia" w:ascii="宋体" w:hAnsi="宋体" w:cs="宋体"/>
          <w:sz w:val="36"/>
          <w:szCs w:val="36"/>
        </w:rPr>
        <w:t>3</w:t>
      </w:r>
      <w:r>
        <w:rPr>
          <w:rFonts w:hint="eastAsia" w:ascii="宋体" w:hAnsi="宋体" w:cs="宋体"/>
          <w:sz w:val="36"/>
          <w:szCs w:val="36"/>
        </w:rPr>
        <w:fldChar w:fldCharType="end"/>
      </w:r>
      <w:r>
        <w:rPr>
          <w:rFonts w:hint="eastAsia" w:ascii="宋体" w:hAnsi="宋体" w:cs="宋体"/>
          <w:sz w:val="36"/>
          <w:szCs w:val="36"/>
        </w:rPr>
        <w:fldChar w:fldCharType="end"/>
      </w:r>
    </w:p>
    <w:p w14:paraId="6FCFBF98">
      <w:pPr>
        <w:pStyle w:val="2"/>
        <w:tabs>
          <w:tab w:val="right" w:leader="dot" w:pos="8306"/>
        </w:tabs>
        <w:rPr>
          <w:rFonts w:ascii="宋体" w:hAnsi="宋体" w:cs="宋体"/>
          <w:sz w:val="36"/>
          <w:szCs w:val="36"/>
        </w:rPr>
      </w:pPr>
      <w:r>
        <w:fldChar w:fldCharType="begin"/>
      </w:r>
      <w:r>
        <w:instrText xml:space="preserve"> HYPERLINK \l "_Toc31274" </w:instrText>
      </w:r>
      <w:r>
        <w:fldChar w:fldCharType="separate"/>
      </w:r>
      <w:r>
        <w:rPr>
          <w:rFonts w:hint="eastAsia" w:ascii="宋体" w:hAnsi="宋体" w:cs="宋体"/>
          <w:sz w:val="36"/>
          <w:szCs w:val="36"/>
        </w:rPr>
        <w:t>第二章 参与人须知</w:t>
      </w:r>
      <w:r>
        <w:rPr>
          <w:rFonts w:hint="eastAsia" w:ascii="宋体" w:hAnsi="宋体" w:cs="宋体"/>
          <w:sz w:val="36"/>
          <w:szCs w:val="36"/>
        </w:rPr>
        <w:tab/>
      </w: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6</w:t>
      </w:r>
      <w:r>
        <w:rPr>
          <w:rFonts w:hint="eastAsia" w:ascii="宋体" w:hAnsi="宋体" w:cs="宋体"/>
          <w:sz w:val="36"/>
          <w:szCs w:val="36"/>
        </w:rPr>
        <w:fldChar w:fldCharType="end"/>
      </w:r>
    </w:p>
    <w:p w14:paraId="237B4798">
      <w:pPr>
        <w:pStyle w:val="2"/>
        <w:tabs>
          <w:tab w:val="right" w:leader="dot" w:pos="8306"/>
        </w:tabs>
        <w:rPr>
          <w:rFonts w:ascii="宋体" w:hAnsi="宋体" w:cs="宋体"/>
          <w:kern w:val="0"/>
          <w:sz w:val="36"/>
          <w:szCs w:val="36"/>
        </w:rPr>
      </w:pPr>
      <w:r>
        <w:fldChar w:fldCharType="begin"/>
      </w:r>
      <w:r>
        <w:instrText xml:space="preserve"> HYPERLINK \l "_Toc517" </w:instrText>
      </w:r>
      <w:r>
        <w:fldChar w:fldCharType="separate"/>
      </w:r>
      <w:r>
        <w:rPr>
          <w:rFonts w:hint="eastAsia" w:ascii="宋体" w:hAnsi="宋体" w:cs="宋体"/>
          <w:sz w:val="36"/>
          <w:szCs w:val="36"/>
        </w:rPr>
        <w:t>第三章  合同及附件</w:t>
      </w:r>
      <w:r>
        <w:rPr>
          <w:rFonts w:hint="eastAsia" w:ascii="宋体" w:hAnsi="宋体" w:cs="宋体"/>
          <w:sz w:val="36"/>
          <w:szCs w:val="36"/>
        </w:rPr>
        <w:tab/>
      </w:r>
      <w:r>
        <w:rPr>
          <w:rFonts w:hint="eastAsia" w:ascii="宋体" w:hAnsi="宋体" w:cs="宋体"/>
          <w:sz w:val="36"/>
          <w:szCs w:val="36"/>
        </w:rPr>
        <w:fldChar w:fldCharType="begin"/>
      </w:r>
      <w:r>
        <w:rPr>
          <w:rFonts w:hint="eastAsia" w:ascii="宋体" w:hAnsi="宋体" w:cs="宋体"/>
          <w:sz w:val="36"/>
          <w:szCs w:val="36"/>
        </w:rPr>
        <w:instrText xml:space="preserve"> PAGEREF _Toc517 \h </w:instrText>
      </w:r>
      <w:r>
        <w:rPr>
          <w:rFonts w:hint="eastAsia" w:ascii="宋体" w:hAnsi="宋体" w:cs="宋体"/>
          <w:sz w:val="36"/>
          <w:szCs w:val="36"/>
        </w:rPr>
        <w:fldChar w:fldCharType="separate"/>
      </w:r>
      <w:r>
        <w:rPr>
          <w:rFonts w:hint="eastAsia" w:ascii="宋体" w:hAnsi="宋体" w:cs="宋体"/>
          <w:sz w:val="36"/>
          <w:szCs w:val="36"/>
          <w:lang w:val="en-US" w:eastAsia="zh-CN"/>
        </w:rPr>
        <w:t>9</w:t>
      </w:r>
      <w:r>
        <w:rPr>
          <w:rFonts w:hint="eastAsia" w:ascii="宋体" w:hAnsi="宋体" w:cs="宋体"/>
          <w:sz w:val="36"/>
          <w:szCs w:val="36"/>
        </w:rPr>
        <w:fldChar w:fldCharType="end"/>
      </w:r>
      <w:r>
        <w:rPr>
          <w:rFonts w:hint="eastAsia" w:ascii="宋体" w:hAnsi="宋体" w:cs="宋体"/>
          <w:sz w:val="36"/>
          <w:szCs w:val="36"/>
        </w:rPr>
        <w:fldChar w:fldCharType="end"/>
      </w:r>
      <w:r>
        <w:rPr>
          <w:rFonts w:hint="eastAsia" w:ascii="宋体" w:hAnsi="宋体" w:cs="宋体"/>
          <w:kern w:val="0"/>
          <w:sz w:val="36"/>
          <w:szCs w:val="36"/>
        </w:rPr>
        <w:fldChar w:fldCharType="end"/>
      </w:r>
    </w:p>
    <w:p w14:paraId="6EB6FC7B"/>
    <w:p w14:paraId="27BEEFA6">
      <w:pPr>
        <w:keepNext/>
        <w:keepLines/>
        <w:pageBreakBefore/>
        <w:widowControl/>
        <w:spacing w:before="156" w:beforeLines="50" w:after="120" w:line="640" w:lineRule="exact"/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  <w:lang w:val="zh-CN"/>
        </w:rPr>
      </w:pPr>
      <w:bookmarkStart w:id="0" w:name="_Toc19857"/>
      <w:bookmarkStart w:id="1" w:name="_Toc25018"/>
      <w:bookmarkStart w:id="2" w:name="_Toc100765793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第一章  竞争性谈判公告</w:t>
      </w:r>
      <w:bookmarkEnd w:id="0"/>
      <w:bookmarkEnd w:id="1"/>
      <w:bookmarkEnd w:id="2"/>
    </w:p>
    <w:p w14:paraId="440F205D">
      <w:pPr>
        <w:autoSpaceDE w:val="0"/>
        <w:autoSpaceDN w:val="0"/>
        <w:adjustRightInd w:val="0"/>
        <w:spacing w:line="540" w:lineRule="exact"/>
        <w:jc w:val="center"/>
        <w:rPr>
          <w:rFonts w:ascii="微软雅黑" w:hAnsi="微软雅黑" w:eastAsia="微软雅黑" w:cs="微软雅黑"/>
          <w:b/>
          <w:bCs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zh-CN"/>
        </w:rPr>
        <w:t>泉州济钢高科技有限公司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石灰石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zh-CN"/>
        </w:rPr>
        <w:t>产品运输服务</w:t>
      </w:r>
    </w:p>
    <w:p w14:paraId="2807A64D"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竞争性谈判编号：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1253260113001</w:t>
      </w:r>
    </w:p>
    <w:p w14:paraId="0416E838">
      <w:pPr>
        <w:numPr>
          <w:ilvl w:val="0"/>
          <w:numId w:val="1"/>
        </w:num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竞争性谈判名称：泉州济钢高科技有限公司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石灰石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产品运输服务</w:t>
      </w:r>
    </w:p>
    <w:p w14:paraId="74AE3FDB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三、项目概况与招标范围</w:t>
      </w:r>
    </w:p>
    <w:p w14:paraId="7B74BA0F"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lang w:val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、项目地点：</w:t>
      </w:r>
      <w:bookmarkStart w:id="3" w:name="_Hlk11106172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福建省泉州市泉港区泉州济钢高科技有限公司厂区</w:t>
      </w:r>
    </w:p>
    <w:bookmarkEnd w:id="3"/>
    <w:p w14:paraId="54D9C8F6">
      <w:pPr>
        <w:spacing w:line="360" w:lineRule="auto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lang w:val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运输工期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个月</w:t>
      </w:r>
    </w:p>
    <w:p w14:paraId="06842660">
      <w:pPr>
        <w:spacing w:line="360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sz w:val="28"/>
          <w:szCs w:val="28"/>
          <w:lang w:val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、招标范围：此次竞争性谈判采购范围为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公司指定的作业范围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（详见附件）</w:t>
      </w:r>
    </w:p>
    <w:p w14:paraId="4C65A366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lang w:val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、运输区间：泉州济钢高科技有限公司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厂区到福建莆田区域玻璃厂。</w:t>
      </w:r>
    </w:p>
    <w:p w14:paraId="4A6B13EC">
      <w:pPr>
        <w:spacing w:line="360" w:lineRule="auto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四、参与人资格要求</w:t>
      </w:r>
    </w:p>
    <w:p w14:paraId="6B1528BA">
      <w:pPr>
        <w:spacing w:line="360" w:lineRule="auto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bCs/>
          <w:sz w:val="28"/>
          <w:szCs w:val="28"/>
          <w:lang w:val="zh-CN"/>
        </w:rPr>
        <w:t>1.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参与人为依法登记注册的独立法人，具有独立承担民事责任的能力；具有一般纳税人资格或小规模纳税人资格；</w:t>
      </w:r>
    </w:p>
    <w:p w14:paraId="0B7CC6EE">
      <w:pPr>
        <w:spacing w:line="360" w:lineRule="auto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2</w:t>
      </w:r>
      <w:r>
        <w:rPr>
          <w:rFonts w:ascii="仿宋_GB2312" w:hAnsi="仿宋_GB2312" w:eastAsia="仿宋_GB2312" w:cs="仿宋_GB2312"/>
          <w:bCs/>
          <w:sz w:val="28"/>
          <w:szCs w:val="28"/>
          <w:lang w:val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需具备运输资质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zh-CN"/>
        </w:rPr>
        <w:t>、国六标准运输车辆和运输安全环保管理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能力，能够开具正规的增值税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专用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发票（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含税9%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zh-CN"/>
        </w:rPr>
        <w:t>）；每月运输能力在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吨以上，能够满足我公司发货需求；</w:t>
      </w:r>
    </w:p>
    <w:p w14:paraId="4D4C67D8">
      <w:pPr>
        <w:spacing w:line="360" w:lineRule="auto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3</w:t>
      </w:r>
      <w:r>
        <w:rPr>
          <w:rFonts w:ascii="仿宋_GB2312" w:hAnsi="仿宋_GB2312" w:eastAsia="仿宋_GB2312" w:cs="仿宋_GB2312"/>
          <w:bCs/>
          <w:sz w:val="28"/>
          <w:szCs w:val="28"/>
          <w:lang w:val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承担货损、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延误损失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和各种扣款损失；</w:t>
      </w:r>
    </w:p>
    <w:p w14:paraId="388D957C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bCs/>
          <w:sz w:val="28"/>
          <w:szCs w:val="28"/>
          <w:lang w:val="zh-CN"/>
        </w:rPr>
        <w:t>4.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具有良好的企业信誉和健全的财务会计制度；</w:t>
      </w:r>
    </w:p>
    <w:p w14:paraId="118A2B67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bCs/>
          <w:sz w:val="28"/>
          <w:szCs w:val="28"/>
          <w:lang w:val="zh-CN"/>
        </w:rPr>
        <w:t>5.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具有履行合同必需的设备、专业技术、资质能力；</w:t>
      </w:r>
    </w:p>
    <w:p w14:paraId="43FAE5BC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bCs/>
          <w:sz w:val="28"/>
          <w:szCs w:val="28"/>
          <w:lang w:val="zh-CN"/>
        </w:rPr>
        <w:t>6.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有依法缴纳税收和社会保障金的良好纪录；</w:t>
      </w:r>
    </w:p>
    <w:p w14:paraId="25BE51C7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bCs/>
          <w:sz w:val="28"/>
          <w:szCs w:val="28"/>
          <w:lang w:val="zh-CN"/>
        </w:rPr>
        <w:t>7.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在济钢集团内经营活动中没有违法记录；</w:t>
      </w:r>
    </w:p>
    <w:p w14:paraId="32A5E934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bCs/>
          <w:sz w:val="28"/>
          <w:szCs w:val="28"/>
          <w:lang w:val="zh-CN"/>
        </w:rPr>
        <w:t>8.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不接受联合体参与；</w:t>
      </w:r>
    </w:p>
    <w:p w14:paraId="30A55761">
      <w:pPr>
        <w:spacing w:line="360" w:lineRule="auto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bCs/>
          <w:sz w:val="28"/>
          <w:szCs w:val="28"/>
          <w:lang w:val="zh-CN"/>
        </w:rPr>
        <w:t>9.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参与人的单位必须提供原件到现场审核；</w:t>
      </w:r>
    </w:p>
    <w:p w14:paraId="0021E929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bCs/>
          <w:sz w:val="28"/>
          <w:szCs w:val="28"/>
          <w:lang w:val="zh-CN"/>
        </w:rPr>
        <w:t>10.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如有单位资料造假，一经发现，立即在网上公示，并永久取消参与资格。</w:t>
      </w:r>
    </w:p>
    <w:p w14:paraId="5D2E7165">
      <w:pPr>
        <w:widowControl/>
        <w:autoSpaceDE w:val="0"/>
        <w:autoSpaceDN w:val="0"/>
        <w:adjustRightInd w:val="0"/>
        <w:spacing w:line="360" w:lineRule="exact"/>
        <w:ind w:firstLine="551" w:firstLineChars="196"/>
        <w:jc w:val="left"/>
        <w:rPr>
          <w:rFonts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五、公告及报名时间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 xml:space="preserve"> </w:t>
      </w:r>
    </w:p>
    <w:p w14:paraId="06B6628A">
      <w:pPr>
        <w:spacing w:line="520" w:lineRule="exact"/>
        <w:ind w:left="420" w:leftChars="20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、报名方式：登录www.jigang.com.cn—济钢集团有限公司阳光购销平台或 bidding.jigang.com.cn (网上报名)；使用指南可在网站首页“帮助中心”下载。</w:t>
      </w:r>
    </w:p>
    <w:p w14:paraId="0A0D414E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、公告和报名时间：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20</w:t>
      </w:r>
      <w:r>
        <w:rPr>
          <w:rFonts w:ascii="仿宋_GB2312" w:hAnsi="仿宋_GB2312" w:eastAsia="仿宋_GB2312" w:cs="仿宋_GB2312"/>
          <w:b/>
          <w:bCs/>
          <w:sz w:val="28"/>
          <w:szCs w:val="28"/>
          <w:highlight w:val="none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日至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日</w:t>
      </w:r>
      <w:r>
        <w:rPr>
          <w:rFonts w:ascii="仿宋_GB2312" w:hAnsi="仿宋_GB2312" w:eastAsia="仿宋_GB2312" w:cs="仿宋_GB2312"/>
          <w:color w:val="FF0000"/>
          <w:sz w:val="28"/>
          <w:szCs w:val="28"/>
          <w:highlight w:val="none"/>
        </w:rPr>
        <w:t xml:space="preserve"> </w:t>
      </w:r>
    </w:p>
    <w:p w14:paraId="65F76B2B">
      <w:pPr>
        <w:widowControl/>
        <w:autoSpaceDE w:val="0"/>
        <w:autoSpaceDN w:val="0"/>
        <w:adjustRightInd w:val="0"/>
        <w:spacing w:line="360" w:lineRule="exact"/>
        <w:ind w:firstLine="551" w:firstLineChars="196"/>
        <w:jc w:val="left"/>
        <w:rPr>
          <w:rFonts w:ascii="仿宋_GB2312" w:hAnsi="仿宋_GB2312" w:eastAsia="仿宋_GB2312" w:cs="仿宋_GB2312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highlight w:val="none"/>
          <w:lang w:val="zh-CN"/>
        </w:rPr>
        <w:t>六、竞争性谈判文件</w:t>
      </w: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  <w:highlight w:val="none"/>
        </w:rPr>
        <w:t>:</w:t>
      </w:r>
    </w:p>
    <w:p w14:paraId="4013FAF2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  <w:lang w:val="zh-CN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  <w:lang w:val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、发布谈判文件开始时间：</w:t>
      </w:r>
      <w:r>
        <w:rPr>
          <w:rFonts w:ascii="仿宋_GB2312" w:hAnsi="仿宋_GB2312" w:eastAsia="仿宋_GB2312" w:cs="仿宋_GB2312"/>
          <w:sz w:val="28"/>
          <w:szCs w:val="28"/>
          <w:highlight w:val="none"/>
          <w:lang w:val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日；</w:t>
      </w:r>
    </w:p>
    <w:p w14:paraId="56C3E31E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2、获取方式：缴纳参与保证金后，阳光购销平台或 bidding.jigang.com.cn 获取电子版，不提供纸质版。</w:t>
      </w:r>
    </w:p>
    <w:p w14:paraId="43F5F2ED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  <w:lang w:val="zh-CN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  <w:lang w:val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、售价：谈判文件免费。</w:t>
      </w:r>
    </w:p>
    <w:p w14:paraId="3DFE4374"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谈判时间：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日9时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分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现场谈判）</w:t>
      </w:r>
    </w:p>
    <w:p w14:paraId="40959D8A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七、参与保证金：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zh-CN"/>
        </w:rPr>
        <w:t>人民币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zh-CN"/>
        </w:rPr>
        <w:t>仟元整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；</w:t>
      </w:r>
    </w:p>
    <w:p w14:paraId="3ADAB150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  <w:lang w:val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、参与保证金最后缴纳日期：</w:t>
      </w:r>
      <w:r>
        <w:rPr>
          <w:rFonts w:ascii="仿宋_GB2312" w:hAnsi="仿宋_GB2312" w:eastAsia="仿宋_GB2312" w:cs="仿宋_GB2312"/>
          <w:b/>
          <w:bCs/>
          <w:sz w:val="28"/>
          <w:szCs w:val="28"/>
          <w:highlight w:val="none"/>
          <w:lang w:val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zh-CN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zh-CN"/>
        </w:rPr>
        <w:t>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zh-CN"/>
        </w:rPr>
        <w:t>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zh-CN"/>
        </w:rPr>
        <w:t>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/>
        </w:rPr>
        <w:t>。逾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期缴纳的，参与将被拒绝。</w:t>
      </w:r>
    </w:p>
    <w:p w14:paraId="7CF7C788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sz w:val="28"/>
          <w:szCs w:val="28"/>
          <w:lang w:val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、参与保证金应从参与人银行基本账户内转出或汇出，为方便退还不出具收据。交款注明招标编号及款项性质（参与保证金）。</w:t>
      </w:r>
    </w:p>
    <w:p w14:paraId="1929D8C1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sz w:val="28"/>
          <w:szCs w:val="28"/>
          <w:lang w:val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、缴纳参与保证金账户信息：</w:t>
      </w:r>
    </w:p>
    <w:p w14:paraId="0C193444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sz w:val="28"/>
          <w:szCs w:val="28"/>
          <w:lang w:val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名</w:t>
      </w:r>
      <w:r>
        <w:rPr>
          <w:rFonts w:ascii="仿宋_GB2312" w:hAnsi="仿宋_GB2312" w:eastAsia="仿宋_GB2312" w:cs="仿宋_GB2312"/>
          <w:sz w:val="28"/>
          <w:szCs w:val="28"/>
          <w:lang w:val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称：泉州济钢高科技有限公司</w:t>
      </w:r>
    </w:p>
    <w:p w14:paraId="3455EDBE">
      <w:pPr>
        <w:widowControl/>
        <w:spacing w:line="360" w:lineRule="auto"/>
        <w:jc w:val="left"/>
        <w:rPr>
          <w:rFonts w:ascii="仿宋_GB2312" w:hAnsi="仿宋" w:eastAsia="仿宋_GB2312" w:cs="MingLiU_HKSCS"/>
          <w:color w:val="000000"/>
          <w:kern w:val="0"/>
          <w:sz w:val="28"/>
          <w:szCs w:val="28"/>
          <w:lang w:val="zh-TW"/>
        </w:rPr>
      </w:pPr>
      <w:r>
        <w:rPr>
          <w:rFonts w:ascii="仿宋_GB2312" w:hAnsi="仿宋_GB2312" w:eastAsia="仿宋_GB2312" w:cs="仿宋_GB2312"/>
          <w:sz w:val="28"/>
          <w:szCs w:val="28"/>
          <w:lang w:val="zh-CN"/>
        </w:rPr>
        <w:t xml:space="preserve"> </w:t>
      </w:r>
      <w:r>
        <w:rPr>
          <w:rFonts w:ascii="仿宋_GB2312" w:hAnsi="仿宋" w:eastAsia="仿宋_GB2312" w:cs="MingLiU_HKSCS"/>
          <w:color w:val="000000"/>
          <w:kern w:val="0"/>
          <w:sz w:val="28"/>
          <w:szCs w:val="28"/>
          <w:lang w:val="zh-TW"/>
        </w:rPr>
        <w:t xml:space="preserve">  </w:t>
      </w:r>
      <w:r>
        <w:rPr>
          <w:rFonts w:hint="eastAsia" w:ascii="仿宋_GB2312" w:hAnsi="仿宋" w:eastAsia="仿宋_GB2312" w:cs="MingLiU_HKSCS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hAnsi="仿宋" w:eastAsia="仿宋_GB2312" w:cs="MingLiU_HKSCS"/>
          <w:color w:val="000000"/>
          <w:kern w:val="0"/>
          <w:sz w:val="28"/>
          <w:szCs w:val="28"/>
          <w:lang w:val="zh-TW"/>
        </w:rPr>
        <w:t>开户行：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中国工商银行泉州市泉港支行</w:t>
      </w:r>
    </w:p>
    <w:p w14:paraId="724284D5">
      <w:pPr>
        <w:ind w:firstLine="840" w:firstLineChars="300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/>
          <w:kern w:val="0"/>
          <w:sz w:val="28"/>
          <w:szCs w:val="28"/>
        </w:rPr>
        <w:t>账</w:t>
      </w:r>
      <w:r>
        <w:rPr>
          <w:rFonts w:ascii="仿宋_GB2312" w:hAnsi="仿宋" w:eastAsia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  <w:szCs w:val="28"/>
        </w:rPr>
        <w:t>号：</w:t>
      </w:r>
      <w:r>
        <w:rPr>
          <w:rFonts w:hint="eastAsia"/>
          <w:sz w:val="28"/>
          <w:szCs w:val="28"/>
        </w:rPr>
        <w:t>1408011209601047497</w:t>
      </w:r>
    </w:p>
    <w:p w14:paraId="092343E1">
      <w:pPr>
        <w:widowControl/>
        <w:spacing w:line="360" w:lineRule="auto"/>
        <w:ind w:firstLine="840" w:firstLineChars="300"/>
        <w:jc w:val="left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" w:eastAsia="仿宋_GB2312"/>
          <w:kern w:val="0"/>
          <w:sz w:val="28"/>
          <w:szCs w:val="28"/>
        </w:rPr>
        <w:t>行  号：</w:t>
      </w:r>
      <w:r>
        <w:rPr>
          <w:rFonts w:hint="eastAsia"/>
          <w:sz w:val="28"/>
          <w:szCs w:val="28"/>
        </w:rPr>
        <w:t>102397121121</w:t>
      </w:r>
    </w:p>
    <w:p w14:paraId="74D89E6F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sz w:val="28"/>
          <w:szCs w:val="28"/>
          <w:lang w:val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、参与保证金在合同签订后</w:t>
      </w:r>
      <w:r>
        <w:rPr>
          <w:rFonts w:ascii="仿宋_GB2312" w:hAnsi="仿宋_GB2312" w:eastAsia="仿宋_GB2312" w:cs="仿宋_GB2312"/>
          <w:sz w:val="28"/>
          <w:szCs w:val="28"/>
          <w:lang w:val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日内原账户无息退还。</w:t>
      </w:r>
    </w:p>
    <w:p w14:paraId="47CD1FA9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sz w:val="28"/>
          <w:szCs w:val="28"/>
          <w:lang w:val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、在递交参与文件时，携带参与保证金交款回单，以备查验。</w:t>
      </w:r>
    </w:p>
    <w:p w14:paraId="1F29FFA0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八、参与文件的递交</w:t>
      </w:r>
    </w:p>
    <w:p w14:paraId="27472E13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sz w:val="28"/>
          <w:szCs w:val="28"/>
          <w:lang w:val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、参与文件递交的截止时间及谈判时间另行通知。</w:t>
      </w:r>
    </w:p>
    <w:p w14:paraId="06E83BDA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sz w:val="28"/>
          <w:szCs w:val="28"/>
          <w:lang w:val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、逾期送达的、未送达指定地点的或者不按照竞争性谈判文件要求密封的参与文件，招标人将予以拒收。</w:t>
      </w:r>
    </w:p>
    <w:p w14:paraId="6F933ED5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九、资格审查方式</w:t>
      </w:r>
    </w:p>
    <w:p w14:paraId="256FA7BD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资格后审</w:t>
      </w:r>
      <w:r>
        <w:rPr>
          <w:rFonts w:ascii="仿宋_GB2312" w:hAnsi="仿宋_GB2312" w:eastAsia="仿宋_GB2312" w:cs="仿宋_GB2312"/>
          <w:sz w:val="28"/>
          <w:szCs w:val="28"/>
          <w:lang w:val="zh-CN"/>
        </w:rPr>
        <w:t>;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竞争性谈判会议开始后，竞争性谈判委员会对参与单位的资质文件进行评审。评审合格的进入下一阶段评审；评审不合格的作废处理，参与文件将被退回。</w:t>
      </w:r>
    </w:p>
    <w:p w14:paraId="4FA6EE13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十、发布公告的媒介</w:t>
      </w:r>
    </w:p>
    <w:p w14:paraId="190CC2B9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本次谈判公告在济钢集团阳光采购与管理信息平台上发布。</w:t>
      </w:r>
    </w:p>
    <w:p w14:paraId="35847136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十一、联系方式及谈判时间</w:t>
      </w:r>
    </w:p>
    <w:p w14:paraId="524E44B0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sz w:val="28"/>
          <w:szCs w:val="28"/>
          <w:lang w:val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、招标联系人：</w:t>
      </w:r>
      <w:r>
        <w:rPr>
          <w:rFonts w:hint="eastAsia" w:ascii="仿宋_GB2312" w:hAnsi="仿宋_GB2312" w:eastAsia="仿宋_GB2312" w:cs="仿宋_GB2312"/>
          <w:sz w:val="28"/>
          <w:szCs w:val="28"/>
        </w:rPr>
        <w:t>郑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工，联系电话：</w:t>
      </w:r>
      <w:r>
        <w:rPr>
          <w:rFonts w:hint="eastAsia" w:ascii="仿宋_GB2312" w:hAnsi="仿宋_GB2312" w:eastAsia="仿宋_GB2312" w:cs="仿宋_GB2312"/>
          <w:sz w:val="28"/>
          <w:szCs w:val="28"/>
        </w:rPr>
        <w:t>15098838165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；</w:t>
      </w:r>
    </w:p>
    <w:p w14:paraId="21614352"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lang w:val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、业务（技术）联系人：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马工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，联系电话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18159518069</w:t>
      </w:r>
    </w:p>
    <w:p w14:paraId="66D47B88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谈判时间另行电话通知，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地点为泉州济钢高科技有限公司一楼东会议室。</w:t>
      </w:r>
    </w:p>
    <w:p w14:paraId="43A6E85E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十二、谈判内容和其他要求以最终的谈判文件为准</w:t>
      </w:r>
    </w:p>
    <w:p w14:paraId="2ADAC37F">
      <w:pPr>
        <w:spacing w:line="360" w:lineRule="auto"/>
        <w:ind w:firstLine="4900" w:firstLineChars="175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泉州济钢高科技有限公司</w:t>
      </w:r>
    </w:p>
    <w:p w14:paraId="0F800DC0">
      <w:pPr>
        <w:spacing w:line="360" w:lineRule="auto"/>
        <w:ind w:firstLine="5600" w:firstLineChars="2000"/>
        <w:rPr>
          <w:rFonts w:ascii="仿宋_GB2312" w:hAnsi="仿宋_GB2312" w:eastAsia="仿宋_GB2312" w:cs="仿宋_GB2312"/>
          <w:color w:val="FF000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sz w:val="28"/>
          <w:szCs w:val="28"/>
          <w:lang w:val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日</w:t>
      </w:r>
      <w:r>
        <w:rPr>
          <w:rFonts w:ascii="仿宋_GB2312" w:hAnsi="仿宋_GB2312" w:eastAsia="仿宋_GB2312" w:cs="仿宋_GB2312"/>
          <w:color w:val="FF0000"/>
          <w:sz w:val="28"/>
          <w:szCs w:val="28"/>
          <w:lang w:val="zh-CN"/>
        </w:rPr>
        <w:t xml:space="preserve"> </w:t>
      </w:r>
    </w:p>
    <w:p w14:paraId="2C21A6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_HKSCS">
    <w:altName w:val="P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7F6C0B"/>
    <w:multiLevelType w:val="singleLevel"/>
    <w:tmpl w:val="747F6C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4608C"/>
    <w:rsid w:val="1F420951"/>
    <w:rsid w:val="34A4608C"/>
    <w:rsid w:val="4419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spacing w:before="120" w:after="120"/>
      <w:jc w:val="left"/>
    </w:pPr>
    <w:rPr>
      <w:rFonts w:cs="Calibri"/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1280</Words>
  <Characters>1453</Characters>
  <Lines>0</Lines>
  <Paragraphs>0</Paragraphs>
  <TotalTime>0</TotalTime>
  <ScaleCrop>false</ScaleCrop>
  <LinksUpToDate>false</LinksUpToDate>
  <CharactersWithSpaces>1492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2026-01-13T05:09:00Z</dcterms:created>
  <dc:creator>换个名字吧</dc:creator>
  <cp:lastModifiedBy>换个名字吧</cp:lastModifiedBy>
  <dcterms:modified xsi:type="dcterms:W3CDTF">2026-01-13T12:03:35Z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61497F22A8BA4AA9819729D530C0B736_11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